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AC6AE" w14:textId="77777777" w:rsidR="003072BF" w:rsidRPr="003072BF" w:rsidRDefault="003072BF" w:rsidP="003072BF">
      <w:pPr>
        <w:rPr>
          <w:b/>
          <w:bCs/>
          <w:lang w:val="en-GB"/>
        </w:rPr>
      </w:pPr>
      <w:r w:rsidRPr="003072BF">
        <w:rPr>
          <w:b/>
          <w:bCs/>
          <w:lang w:val="en-GB"/>
        </w:rPr>
        <w:t xml:space="preserve">ELVENKING – </w:t>
      </w:r>
      <w:r w:rsidRPr="003072BF">
        <w:rPr>
          <w:b/>
          <w:bCs/>
          <w:i/>
          <w:iCs/>
          <w:lang w:val="en-GB"/>
        </w:rPr>
        <w:t>Rites Of Disclosure</w:t>
      </w:r>
    </w:p>
    <w:p w14:paraId="42D4D428" w14:textId="77777777" w:rsidR="003072BF" w:rsidRPr="003072BF" w:rsidRDefault="003072BF" w:rsidP="003072BF">
      <w:pPr>
        <w:rPr>
          <w:b/>
          <w:bCs/>
          <w:lang w:val="en-GB"/>
        </w:rPr>
      </w:pPr>
      <w:r w:rsidRPr="003072BF">
        <w:rPr>
          <w:b/>
          <w:bCs/>
          <w:lang w:val="en-GB"/>
        </w:rPr>
        <w:t>Presse-Info / Langversion</w:t>
      </w:r>
    </w:p>
    <w:p w14:paraId="79DBDF4A" w14:textId="77777777" w:rsidR="003072BF" w:rsidRPr="003072BF" w:rsidRDefault="003072BF" w:rsidP="003072BF">
      <w:r w:rsidRPr="003072BF">
        <w:t xml:space="preserve">Mit </w:t>
      </w:r>
      <w:proofErr w:type="spellStart"/>
      <w:r w:rsidRPr="003072BF">
        <w:rPr>
          <w:i/>
          <w:iCs/>
        </w:rPr>
        <w:t>Rites</w:t>
      </w:r>
      <w:proofErr w:type="spellEnd"/>
      <w:r w:rsidRPr="003072BF">
        <w:rPr>
          <w:i/>
          <w:iCs/>
        </w:rPr>
        <w:t xml:space="preserve"> Of Disclosure</w:t>
      </w:r>
      <w:r w:rsidRPr="003072BF">
        <w:t xml:space="preserve"> schließen Elvenking eines der ambitioniertesten und prägendsten Kapitel ihrer Bandgeschichte ab. Die Veröffentlichung ist als Begleitwerk und Epilog zur </w:t>
      </w:r>
      <w:r w:rsidRPr="003072BF">
        <w:rPr>
          <w:i/>
          <w:iCs/>
        </w:rPr>
        <w:t xml:space="preserve">Reader </w:t>
      </w:r>
      <w:proofErr w:type="spellStart"/>
      <w:r w:rsidRPr="003072BF">
        <w:rPr>
          <w:i/>
          <w:iCs/>
        </w:rPr>
        <w:t>of</w:t>
      </w:r>
      <w:proofErr w:type="spellEnd"/>
      <w:r w:rsidRPr="003072BF">
        <w:rPr>
          <w:i/>
          <w:iCs/>
        </w:rPr>
        <w:t xml:space="preserve"> </w:t>
      </w:r>
      <w:proofErr w:type="spellStart"/>
      <w:r w:rsidRPr="003072BF">
        <w:rPr>
          <w:i/>
          <w:iCs/>
        </w:rPr>
        <w:t>the</w:t>
      </w:r>
      <w:proofErr w:type="spellEnd"/>
      <w:r w:rsidRPr="003072BF">
        <w:rPr>
          <w:i/>
          <w:iCs/>
        </w:rPr>
        <w:t xml:space="preserve"> Runes</w:t>
      </w:r>
      <w:r w:rsidRPr="003072BF">
        <w:t>-Trilogie konzipiert und stellt kein klassisches Studioalbum dar, sondern eine sorgfältig kuratierte Sammlung, die Vergangenheit und Gegenwart verbindet und zugleich den Blick nach vorn richtet.</w:t>
      </w:r>
    </w:p>
    <w:p w14:paraId="03121525" w14:textId="77777777" w:rsidR="003072BF" w:rsidRPr="003072BF" w:rsidRDefault="003072BF" w:rsidP="003072BF">
      <w:r w:rsidRPr="003072BF">
        <w:t xml:space="preserve">Die ursprüngliche Idee entstand aus dem Wunsch, mehreren zwischen den Trilogie-Kapiteln entstandenen Singles erstmals eine physische Veröffentlichung zu geben. Während der </w:t>
      </w:r>
      <w:r w:rsidRPr="003072BF">
        <w:rPr>
          <w:i/>
          <w:iCs/>
        </w:rPr>
        <w:t>Luna</w:t>
      </w:r>
      <w:r w:rsidRPr="003072BF">
        <w:t>-Sessions wurden zudem zwei weitere Stücke aufgenommen – ein eigener Song und ein Cover – womit Elvenking eine Tradition fortführten, die sie bereits bei den vorherigen Teilen der Saga etabliert hatten. Als sich schließlich die Gelegenheit ergab, für ein Tribute-Projekt einen Children-</w:t>
      </w:r>
      <w:proofErr w:type="spellStart"/>
      <w:r w:rsidRPr="003072BF">
        <w:t>of</w:t>
      </w:r>
      <w:proofErr w:type="spellEnd"/>
      <w:r w:rsidRPr="003072BF">
        <w:t>-Bodom-Song einzuspielen, entschied sich die Band, das Konzept auszuweiten: Statt nur einen einzelnen Track aufzunehmen, entstanden zusätzliche Coverversionen sowie zwei komplett neue Songs – und damit ein Release mit eigenständigem Charakter.</w:t>
      </w:r>
    </w:p>
    <w:p w14:paraId="67C1D846" w14:textId="77777777" w:rsidR="003072BF" w:rsidRPr="003072BF" w:rsidRDefault="003072BF" w:rsidP="003072BF">
      <w:r w:rsidRPr="003072BF">
        <w:t xml:space="preserve">Thematisch bleibt </w:t>
      </w:r>
      <w:proofErr w:type="spellStart"/>
      <w:r w:rsidRPr="003072BF">
        <w:rPr>
          <w:i/>
          <w:iCs/>
        </w:rPr>
        <w:t>Rites</w:t>
      </w:r>
      <w:proofErr w:type="spellEnd"/>
      <w:r w:rsidRPr="003072BF">
        <w:rPr>
          <w:i/>
          <w:iCs/>
        </w:rPr>
        <w:t xml:space="preserve"> Of Disclosure</w:t>
      </w:r>
      <w:r w:rsidRPr="003072BF">
        <w:t xml:space="preserve"> eng mit dem </w:t>
      </w:r>
      <w:r w:rsidRPr="003072BF">
        <w:rPr>
          <w:i/>
          <w:iCs/>
        </w:rPr>
        <w:t xml:space="preserve">Reader </w:t>
      </w:r>
      <w:proofErr w:type="spellStart"/>
      <w:r w:rsidRPr="003072BF">
        <w:rPr>
          <w:i/>
          <w:iCs/>
        </w:rPr>
        <w:t>of</w:t>
      </w:r>
      <w:proofErr w:type="spellEnd"/>
      <w:r w:rsidRPr="003072BF">
        <w:rPr>
          <w:i/>
          <w:iCs/>
        </w:rPr>
        <w:t xml:space="preserve"> </w:t>
      </w:r>
      <w:proofErr w:type="spellStart"/>
      <w:r w:rsidRPr="003072BF">
        <w:rPr>
          <w:i/>
          <w:iCs/>
        </w:rPr>
        <w:t>the</w:t>
      </w:r>
      <w:proofErr w:type="spellEnd"/>
      <w:r w:rsidRPr="003072BF">
        <w:rPr>
          <w:i/>
          <w:iCs/>
        </w:rPr>
        <w:t xml:space="preserve"> Runes</w:t>
      </w:r>
      <w:r w:rsidRPr="003072BF">
        <w:t xml:space="preserve">-Universum verbunden. Stücke wie „The Moon and Magic“ und „Ethel“ fungieren als erzählerische Brücken zwischen den Kapiteln der Trilogie und führen die Hörer von einem Abschnitt der Geschichte in den nächsten. „The Past </w:t>
      </w:r>
      <w:proofErr w:type="spellStart"/>
      <w:r w:rsidRPr="003072BF">
        <w:t>Is</w:t>
      </w:r>
      <w:proofErr w:type="spellEnd"/>
      <w:r w:rsidRPr="003072BF">
        <w:t xml:space="preserve"> Forever“, geschrieben während der </w:t>
      </w:r>
      <w:proofErr w:type="spellStart"/>
      <w:r w:rsidRPr="003072BF">
        <w:rPr>
          <w:i/>
          <w:iCs/>
        </w:rPr>
        <w:t>Rapture</w:t>
      </w:r>
      <w:proofErr w:type="spellEnd"/>
      <w:r w:rsidRPr="003072BF">
        <w:rPr>
          <w:i/>
          <w:iCs/>
        </w:rPr>
        <w:t>/Luna</w:t>
      </w:r>
      <w:r w:rsidRPr="003072BF">
        <w:t xml:space="preserve">-Phase, transportiert eine nostalgische Leichtigkeit und greift musikalisch die folkige Frühphase der Band auf. Die beiden neuen Kompositionen „Blizzards </w:t>
      </w:r>
      <w:proofErr w:type="spellStart"/>
      <w:r w:rsidRPr="003072BF">
        <w:t>of</w:t>
      </w:r>
      <w:proofErr w:type="spellEnd"/>
      <w:r w:rsidRPr="003072BF">
        <w:t xml:space="preserve"> Anger“ und „Rite </w:t>
      </w:r>
      <w:proofErr w:type="spellStart"/>
      <w:r w:rsidRPr="003072BF">
        <w:t>of</w:t>
      </w:r>
      <w:proofErr w:type="spellEnd"/>
      <w:r w:rsidRPr="003072BF">
        <w:t xml:space="preserve"> Passage“ stellen schließlich die letzten lyrischen und musikalischen Mosaiksteine der Saga dar – ein bewusst gesetzter, endgültiger Schlusspunkt unter eine Geschichte, die Elvenking fast ein Jahrzehnt lang begleitet hat.</w:t>
      </w:r>
    </w:p>
    <w:p w14:paraId="1292D93D" w14:textId="77777777" w:rsidR="003072BF" w:rsidRPr="003072BF" w:rsidRDefault="003072BF" w:rsidP="003072BF">
      <w:r w:rsidRPr="003072BF">
        <w:t xml:space="preserve">Musikalisch präsentiert das Album die gesamte stilistische Bandbreite der Band: von hellen, akustischen Klanglandschaften bis hin zu dunklen, epischen Momenten, von folkigen Melodien bis zu klassischem Heavy Metal. Diese Vielseitigkeit ist seit dem Debüt </w:t>
      </w:r>
      <w:proofErr w:type="spellStart"/>
      <w:r w:rsidRPr="003072BF">
        <w:rPr>
          <w:i/>
          <w:iCs/>
        </w:rPr>
        <w:t>Heathenreel</w:t>
      </w:r>
      <w:proofErr w:type="spellEnd"/>
      <w:r w:rsidRPr="003072BF">
        <w:t xml:space="preserve"> ein zentrales Merkmal von Elvenking und wird hier noch einmal eindrucksvoll unterstrichen.</w:t>
      </w:r>
    </w:p>
    <w:p w14:paraId="26A4C18B" w14:textId="77777777" w:rsidR="003072BF" w:rsidRPr="003072BF" w:rsidRDefault="003072BF" w:rsidP="003072BF">
      <w:r w:rsidRPr="003072BF">
        <w:t xml:space="preserve">Eine ebenso wichtige Rolle spielen die ausgewählten Coverversionen – eine Hommage an die Bands und Strömungen, die </w:t>
      </w:r>
      <w:proofErr w:type="spellStart"/>
      <w:r w:rsidRPr="003072BF">
        <w:t>Elvenkings</w:t>
      </w:r>
      <w:proofErr w:type="spellEnd"/>
      <w:r w:rsidRPr="003072BF">
        <w:t xml:space="preserve"> musikalische DNA geprägt haben. Iron Maiden, </w:t>
      </w:r>
      <w:proofErr w:type="spellStart"/>
      <w:r w:rsidRPr="003072BF">
        <w:t>Skyclad</w:t>
      </w:r>
      <w:proofErr w:type="spellEnd"/>
      <w:r w:rsidRPr="003072BF">
        <w:t xml:space="preserve">, Bathory, Children </w:t>
      </w:r>
      <w:proofErr w:type="spellStart"/>
      <w:r w:rsidRPr="003072BF">
        <w:t>of</w:t>
      </w:r>
      <w:proofErr w:type="spellEnd"/>
      <w:r w:rsidRPr="003072BF">
        <w:t xml:space="preserve"> Bodom, King Diamond, Venom und </w:t>
      </w:r>
      <w:proofErr w:type="spellStart"/>
      <w:r w:rsidRPr="003072BF">
        <w:t>Mercyful</w:t>
      </w:r>
      <w:proofErr w:type="spellEnd"/>
      <w:r w:rsidRPr="003072BF">
        <w:t xml:space="preserve"> </w:t>
      </w:r>
      <w:proofErr w:type="spellStart"/>
      <w:r w:rsidRPr="003072BF">
        <w:t>Fate</w:t>
      </w:r>
      <w:proofErr w:type="spellEnd"/>
      <w:r w:rsidRPr="003072BF">
        <w:t xml:space="preserve"> stehen dabei nicht nur für Einflüsse, sondern für prägende Wegbegleiter der eigenen Entwicklung. Jede Interpretation wurde mit großem Respekt umgesetzt, ohne dabei den eigenen Stil zu verlieren. Besondere Highlights sind etwa „Arrival“ von King Diamond, das bewusst ohne Klicktrack aufgenommen wurde, um den organischen 80er-Jahre-Flow einzufangen, sowie „Prime Evil“ von Venom mit Original-Sänger Tony „The Demolition Man“ Dolan und Snowy Shaw am Schlagzeug.</w:t>
      </w:r>
    </w:p>
    <w:p w14:paraId="19A1B6CF" w14:textId="77777777" w:rsidR="003072BF" w:rsidRPr="003072BF" w:rsidRDefault="003072BF" w:rsidP="003072BF">
      <w:r w:rsidRPr="003072BF">
        <w:t>Songwriting und Produktion lagen erneut hauptsächlich in den Händen der Gründungsmitglieder Aydan und Damna, unterstützt von langjährigen Weggefährten wie Dave Briggs an den Tin Whistles. Auch wenn sich die Aufnahmen über einen längeren Zeitraum erstreckten, fanden die Kernsessions des neuen Materials im Jahr 2025 statt – was dem Werk zugleich einen reflektierenden wie zukunftsorientierten Charakter verleiht.</w:t>
      </w:r>
    </w:p>
    <w:p w14:paraId="6BEED759" w14:textId="77777777" w:rsidR="003072BF" w:rsidRPr="003072BF" w:rsidRDefault="003072BF" w:rsidP="003072BF">
      <w:r w:rsidRPr="003072BF">
        <w:t xml:space="preserve">Elvenking verstehen </w:t>
      </w:r>
      <w:proofErr w:type="spellStart"/>
      <w:r w:rsidRPr="003072BF">
        <w:rPr>
          <w:i/>
          <w:iCs/>
        </w:rPr>
        <w:t>Rites</w:t>
      </w:r>
      <w:proofErr w:type="spellEnd"/>
      <w:r w:rsidRPr="003072BF">
        <w:rPr>
          <w:i/>
          <w:iCs/>
        </w:rPr>
        <w:t xml:space="preserve"> Of Disclosure</w:t>
      </w:r>
      <w:r w:rsidRPr="003072BF">
        <w:t xml:space="preserve"> weniger als reguläres Album, sondern als feierlichen Abschluss: eine Sammlung aus Songs, Einflüssen und erzählerischen Fragmenten, die das </w:t>
      </w:r>
      <w:r w:rsidRPr="003072BF">
        <w:rPr>
          <w:i/>
          <w:iCs/>
        </w:rPr>
        <w:t xml:space="preserve">Reader </w:t>
      </w:r>
      <w:proofErr w:type="spellStart"/>
      <w:r w:rsidRPr="003072BF">
        <w:rPr>
          <w:i/>
          <w:iCs/>
        </w:rPr>
        <w:t>of</w:t>
      </w:r>
      <w:proofErr w:type="spellEnd"/>
      <w:r w:rsidRPr="003072BF">
        <w:rPr>
          <w:i/>
          <w:iCs/>
        </w:rPr>
        <w:t xml:space="preserve"> </w:t>
      </w:r>
      <w:proofErr w:type="spellStart"/>
      <w:r w:rsidRPr="003072BF">
        <w:rPr>
          <w:i/>
          <w:iCs/>
        </w:rPr>
        <w:lastRenderedPageBreak/>
        <w:t>the</w:t>
      </w:r>
      <w:proofErr w:type="spellEnd"/>
      <w:r w:rsidRPr="003072BF">
        <w:rPr>
          <w:i/>
          <w:iCs/>
        </w:rPr>
        <w:t xml:space="preserve"> Runes</w:t>
      </w:r>
      <w:r w:rsidRPr="003072BF">
        <w:t>-Zeitalter definieren. Es ist Rückblick und Abschied zugleich – und schafft den Raum, sich kreativ neu auszurichten.</w:t>
      </w:r>
    </w:p>
    <w:p w14:paraId="44C85B5B" w14:textId="77777777" w:rsidR="003072BF" w:rsidRPr="003072BF" w:rsidRDefault="003072BF" w:rsidP="003072BF">
      <w:r w:rsidRPr="003072BF">
        <w:t xml:space="preserve">Im Zentrum steht dabei Offenheit. Die Texte laden zur eigenen Interpretation ein und lassen Raum für persönliche Bedeutungen und emotionale Parallelen. </w:t>
      </w:r>
      <w:proofErr w:type="spellStart"/>
      <w:r w:rsidRPr="003072BF">
        <w:rPr>
          <w:i/>
          <w:iCs/>
        </w:rPr>
        <w:t>Rites</w:t>
      </w:r>
      <w:proofErr w:type="spellEnd"/>
      <w:r w:rsidRPr="003072BF">
        <w:rPr>
          <w:i/>
          <w:iCs/>
        </w:rPr>
        <w:t xml:space="preserve"> Of Disclosure</w:t>
      </w:r>
      <w:r w:rsidRPr="003072BF">
        <w:t xml:space="preserve"> ist damit nicht nur ein Ende, sondern auch ein Moment der Reflexion, der Dankbarkeit und des Übergangs – ein Werk an der Schnittstelle von Vermächtnis und Neuanfang.</w:t>
      </w:r>
    </w:p>
    <w:p w14:paraId="78404DE8" w14:textId="77777777" w:rsidR="006E2639" w:rsidRDefault="006E2639"/>
    <w:sectPr w:rsidR="006E263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2BF"/>
    <w:rsid w:val="001D5BEB"/>
    <w:rsid w:val="003072BF"/>
    <w:rsid w:val="00353B71"/>
    <w:rsid w:val="006E26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7A23E"/>
  <w15:chartTrackingRefBased/>
  <w15:docId w15:val="{13F50A88-FB06-4DAF-BF0E-1B3B0579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072B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3072B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3072BF"/>
    <w:pPr>
      <w:keepNext/>
      <w:keepLines/>
      <w:spacing w:before="160" w:after="80"/>
      <w:outlineLvl w:val="2"/>
    </w:pPr>
    <w:rPr>
      <w:rFonts w:eastAsiaTheme="majorEastAsia"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3072BF"/>
    <w:pPr>
      <w:keepNext/>
      <w:keepLines/>
      <w:spacing w:before="80" w:after="4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072BF"/>
    <w:pPr>
      <w:keepNext/>
      <w:keepLines/>
      <w:spacing w:before="80" w:after="4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semiHidden/>
    <w:unhideWhenUsed/>
    <w:qFormat/>
    <w:rsid w:val="003072B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072B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072B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072B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072BF"/>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3072BF"/>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3072BF"/>
    <w:rPr>
      <w:rFonts w:eastAsiaTheme="majorEastAsia"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3072BF"/>
    <w:rPr>
      <w:rFonts w:eastAsiaTheme="majorEastAsia"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072BF"/>
    <w:rPr>
      <w:rFonts w:eastAsiaTheme="majorEastAsia" w:cstheme="majorBidi"/>
      <w:color w:val="365F91" w:themeColor="accent1" w:themeShade="BF"/>
    </w:rPr>
  </w:style>
  <w:style w:type="character" w:customStyle="1" w:styleId="berschrift6Zchn">
    <w:name w:val="Überschrift 6 Zchn"/>
    <w:basedOn w:val="Absatz-Standardschriftart"/>
    <w:link w:val="berschrift6"/>
    <w:uiPriority w:val="9"/>
    <w:semiHidden/>
    <w:rsid w:val="003072B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072B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072B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072BF"/>
    <w:rPr>
      <w:rFonts w:eastAsiaTheme="majorEastAsia" w:cstheme="majorBidi"/>
      <w:color w:val="272727" w:themeColor="text1" w:themeTint="D8"/>
    </w:rPr>
  </w:style>
  <w:style w:type="paragraph" w:styleId="Titel">
    <w:name w:val="Title"/>
    <w:basedOn w:val="Standard"/>
    <w:next w:val="Standard"/>
    <w:link w:val="TitelZchn"/>
    <w:uiPriority w:val="10"/>
    <w:qFormat/>
    <w:rsid w:val="003072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072B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072B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072B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072B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3072BF"/>
    <w:rPr>
      <w:i/>
      <w:iCs/>
      <w:color w:val="404040" w:themeColor="text1" w:themeTint="BF"/>
    </w:rPr>
  </w:style>
  <w:style w:type="paragraph" w:styleId="Listenabsatz">
    <w:name w:val="List Paragraph"/>
    <w:basedOn w:val="Standard"/>
    <w:uiPriority w:val="34"/>
    <w:qFormat/>
    <w:rsid w:val="003072BF"/>
    <w:pPr>
      <w:ind w:left="720"/>
      <w:contextualSpacing/>
    </w:pPr>
  </w:style>
  <w:style w:type="character" w:styleId="IntensiveHervorhebung">
    <w:name w:val="Intense Emphasis"/>
    <w:basedOn w:val="Absatz-Standardschriftart"/>
    <w:uiPriority w:val="21"/>
    <w:qFormat/>
    <w:rsid w:val="003072BF"/>
    <w:rPr>
      <w:i/>
      <w:iCs/>
      <w:color w:val="365F91" w:themeColor="accent1" w:themeShade="BF"/>
    </w:rPr>
  </w:style>
  <w:style w:type="paragraph" w:styleId="IntensivesZitat">
    <w:name w:val="Intense Quote"/>
    <w:basedOn w:val="Standard"/>
    <w:next w:val="Standard"/>
    <w:link w:val="IntensivesZitatZchn"/>
    <w:uiPriority w:val="30"/>
    <w:qFormat/>
    <w:rsid w:val="003072B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3072BF"/>
    <w:rPr>
      <w:i/>
      <w:iCs/>
      <w:color w:val="365F91" w:themeColor="accent1" w:themeShade="BF"/>
    </w:rPr>
  </w:style>
  <w:style w:type="character" w:styleId="IntensiverVerweis">
    <w:name w:val="Intense Reference"/>
    <w:basedOn w:val="Absatz-Standardschriftart"/>
    <w:uiPriority w:val="32"/>
    <w:qFormat/>
    <w:rsid w:val="003072BF"/>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265E95BDD5AF48A318AFC9074D1A17" ma:contentTypeVersion="19" ma:contentTypeDescription="Ein neues Dokument erstellen." ma:contentTypeScope="" ma:versionID="5e1c5750271fffe422a73ecf7c73c065">
  <xsd:schema xmlns:xsd="http://www.w3.org/2001/XMLSchema" xmlns:xs="http://www.w3.org/2001/XMLSchema" xmlns:p="http://schemas.microsoft.com/office/2006/metadata/properties" xmlns:ns2="ea626501-0a72-48e6-b789-dd9a114e787e" xmlns:ns3="e6114753-ed37-47e3-9b7e-d7b5d746bec1" targetNamespace="http://schemas.microsoft.com/office/2006/metadata/properties" ma:root="true" ma:fieldsID="74de4af0c48469d018e87a9caad14508" ns2:_="" ns3:_="">
    <xsd:import namespace="ea626501-0a72-48e6-b789-dd9a114e787e"/>
    <xsd:import namespace="e6114753-ed37-47e3-9b7e-d7b5d746bec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6501-0a72-48e6-b789-dd9a114e7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619ee979-af80-4cdc-9715-3635f341ba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114753-ed37-47e3-9b7e-d7b5d746be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eccdea4-a1ba-4ab4-8b26-680667696e98}" ma:internalName="TaxCatchAll" ma:showField="CatchAllData" ma:web="e6114753-ed37-47e3-9b7e-d7b5d746bec1">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26501-0a72-48e6-b789-dd9a114e787e">
      <Terms xmlns="http://schemas.microsoft.com/office/infopath/2007/PartnerControls"/>
    </lcf76f155ced4ddcb4097134ff3c332f>
    <TaxCatchAll xmlns="e6114753-ed37-47e3-9b7e-d7b5d746bec1" xsi:nil="true"/>
  </documentManagement>
</p:properties>
</file>

<file path=customXml/itemProps1.xml><?xml version="1.0" encoding="utf-8"?>
<ds:datastoreItem xmlns:ds="http://schemas.openxmlformats.org/officeDocument/2006/customXml" ds:itemID="{847DAA3C-1BE4-477E-A474-E08EF9146D46}"/>
</file>

<file path=customXml/itemProps2.xml><?xml version="1.0" encoding="utf-8"?>
<ds:datastoreItem xmlns:ds="http://schemas.openxmlformats.org/officeDocument/2006/customXml" ds:itemID="{C5B0158F-2C52-4B53-9B0E-78406A3339D2}"/>
</file>

<file path=customXml/itemProps3.xml><?xml version="1.0" encoding="utf-8"?>
<ds:datastoreItem xmlns:ds="http://schemas.openxmlformats.org/officeDocument/2006/customXml" ds:itemID="{5F3B9579-3B73-4081-8FC5-D89A4D24BAF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3473</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Milz</dc:creator>
  <cp:keywords/>
  <dc:description/>
  <cp:lastModifiedBy>Florian Milz</cp:lastModifiedBy>
  <cp:revision>1</cp:revision>
  <dcterms:created xsi:type="dcterms:W3CDTF">2026-02-10T12:53:00Z</dcterms:created>
  <dcterms:modified xsi:type="dcterms:W3CDTF">2026-02-10T12:53:00Z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0x0101007A265E95BDD5AF48A318AFC9074D1A17</vt:lpwstr>
  </property>
</Properties>
</file>